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3C4AC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00"/>
        <w:gridCol w:w="134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CA86B21" w:rsidR="004B553E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B6CE156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E3C152F" w:rsidR="004B553E" w:rsidRPr="0017531F" w:rsidRDefault="00242D14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Muzejsko-galerijska praksa</w:t>
            </w:r>
            <w:r w:rsidR="00DF39D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  <w:r w:rsidR="00D63C44">
              <w:rPr>
                <w:rFonts w:ascii="Merriweather" w:hAnsi="Merriweather" w:cs="Times New Roman"/>
                <w:b/>
                <w:sz w:val="18"/>
                <w:szCs w:val="18"/>
              </w:rPr>
              <w:t>I</w:t>
            </w:r>
            <w:r w:rsidR="00DF39D0">
              <w:rPr>
                <w:rFonts w:ascii="Merriweather" w:hAnsi="Merriweather" w:cs="Times New Roman"/>
                <w:b/>
                <w:sz w:val="18"/>
                <w:szCs w:val="18"/>
              </w:rPr>
              <w:t>I.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9BA2A0A" w:rsidR="004B553E" w:rsidRPr="0017531F" w:rsidRDefault="00D75094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18249BA" w:rsidR="004B553E" w:rsidRPr="0017531F" w:rsidRDefault="0038182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Jednopredmetni diplomski studij povijesti umjetnosti (smjer: konzervatorski i muzejsko-galerijski)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1A725679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D993B4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244D09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4DC8113B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EFAFF73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081E9AA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01D0C1A9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20EB7BF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64C1528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574D1E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350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85" w:type="dxa"/>
            <w:gridSpan w:val="2"/>
          </w:tcPr>
          <w:p w14:paraId="3163F2F8" w14:textId="55AC4249" w:rsidR="00453362" w:rsidRPr="0017531F" w:rsidRDefault="00CC7BC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777777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84B8F73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E84F282" w:rsidR="00453362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27D659F" w:rsidR="00453362" w:rsidRPr="003B254F" w:rsidRDefault="00BE4A21" w:rsidP="003B25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E92661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3B254F" w:rsidRPr="003B254F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3B25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92661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B254F">
              <w:rPr>
                <w:rFonts w:ascii="Merriweather" w:hAnsi="Merriweather" w:cs="Times New Roman"/>
                <w:sz w:val="16"/>
                <w:szCs w:val="16"/>
              </w:rPr>
              <w:t>. 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FB92260" w:rsidR="00453362" w:rsidRPr="00BE4A21" w:rsidRDefault="00E92661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5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 xml:space="preserve">. 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>. 202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8CB9284" w:rsidR="00453362" w:rsidRPr="0017531F" w:rsidRDefault="00DF39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Završen prijediplomski studij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6366F6E" w:rsidR="00453362" w:rsidRPr="0017531F" w:rsidRDefault="00DF39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Silvia Bekavac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11C37F7" w:rsidR="00453362" w:rsidRPr="0017531F" w:rsidRDefault="00DF39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sbekavac@unizd.hr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D1D5288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45FC485D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Lidija Butković Mićin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DFC7A1A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lbutkovi1</w:t>
            </w:r>
            <w:r w:rsidR="00DF39D0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3585D98B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33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3A66A6E1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40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73E7C4A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2D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0D97EC80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3E3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16E21A02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1125807" w14:textId="24387949" w:rsidR="00F2033E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P</w:t>
            </w:r>
            <w:r w:rsidR="00F2033E" w:rsidRPr="00522380">
              <w:rPr>
                <w:rFonts w:ascii="Merriweather" w:hAnsi="Merriweather"/>
                <w:sz w:val="16"/>
                <w:szCs w:val="16"/>
              </w:rPr>
              <w:t>rimijeniti napredna znanja i vještine iz područja povijesti i teorije umjetnosti te užih područja struke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061BE0C5" w14:textId="07C7D120" w:rsidR="00C966E3" w:rsidRPr="00522380" w:rsidRDefault="00C2566D" w:rsidP="00522380">
            <w:pPr>
              <w:pStyle w:val="NoSpacing"/>
              <w:rPr>
                <w:rFonts w:ascii="Merriweather" w:hAnsi="Merriweather" w:cs="Times New Roman"/>
                <w:sz w:val="16"/>
                <w:szCs w:val="16"/>
              </w:rPr>
            </w:pPr>
            <w:r w:rsidRPr="0052238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>rimje</w:t>
            </w:r>
            <w:r w:rsidRPr="00522380">
              <w:rPr>
                <w:rFonts w:ascii="Merriweather" w:hAnsi="Merriweather" w:cs="Times New Roman"/>
                <w:sz w:val="16"/>
                <w:szCs w:val="16"/>
              </w:rPr>
              <w:t>njivati</w:t>
            </w:r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 xml:space="preserve"> znanja i vještine stečene u akademskom okruženju u stvarnim životnim situacijama i povezivanje sa svijetom rada</w:t>
            </w:r>
            <w:r w:rsidRPr="0052238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3C4F417D" w14:textId="1F8E71E9" w:rsidR="00C966E3" w:rsidRPr="00522380" w:rsidRDefault="00C2566D" w:rsidP="00522380">
            <w:pPr>
              <w:pStyle w:val="NoSpacing"/>
              <w:rPr>
                <w:rFonts w:ascii="Merriweather" w:hAnsi="Merriweather" w:cs="Times New Roman"/>
                <w:sz w:val="16"/>
                <w:szCs w:val="16"/>
              </w:rPr>
            </w:pPr>
            <w:r w:rsidRPr="00522380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 xml:space="preserve">teći vještine </w:t>
            </w:r>
            <w:proofErr w:type="spellStart"/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>samoreguliranoga</w:t>
            </w:r>
            <w:proofErr w:type="spellEnd"/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 xml:space="preserve"> učenja s naglaskom na razvoj samostalnosti i odgovornosti u radu</w:t>
            </w:r>
            <w:r w:rsidRPr="0052238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13E2A08B" w14:textId="70732AA4" w:rsidR="00310F9A" w:rsidRPr="00C966E3" w:rsidRDefault="003B254F" w:rsidP="00522380">
            <w:pPr>
              <w:pStyle w:val="NoSpacing"/>
              <w:rPr>
                <w:rFonts w:ascii="Merriweather" w:hAnsi="Merriweather" w:cs="Times New Roman"/>
                <w:sz w:val="16"/>
                <w:szCs w:val="16"/>
              </w:rPr>
            </w:pPr>
            <w:r w:rsidRPr="0052238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>rimjenjivati vještine učenja koje omogućavaju cjeloživotno učenje i uspješan daljnji razvoj studenta u akademskoj disciplini i znanosti</w:t>
            </w:r>
            <w:r w:rsidR="0052238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CC7BC4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C7BC4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E954C0A" w14:textId="696F961C" w:rsidR="00CC7BC4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P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rocijeniti i obrazložiti sličnosti i razlike među određenim </w:t>
            </w:r>
            <w:proofErr w:type="spellStart"/>
            <w:r w:rsidR="00CC7BC4" w:rsidRPr="00522380">
              <w:rPr>
                <w:rFonts w:ascii="Merriweather" w:hAnsi="Merriweather"/>
                <w:sz w:val="16"/>
                <w:szCs w:val="16"/>
              </w:rPr>
              <w:t>povijesnoumjetničkim</w:t>
            </w:r>
            <w:proofErr w:type="spellEnd"/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 i teorijskim idejama u povijesno i teritorijalno razlučivim pojavama i razdobljima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6EE09644" w14:textId="607827E2" w:rsidR="00CC7BC4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K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oristiti i kritički prosuditi osnovne koncepte </w:t>
            </w:r>
            <w:proofErr w:type="spellStart"/>
            <w:r w:rsidR="00CC7BC4" w:rsidRPr="00522380">
              <w:rPr>
                <w:rFonts w:ascii="Merriweather" w:hAnsi="Merriweather"/>
                <w:sz w:val="16"/>
                <w:szCs w:val="16"/>
              </w:rPr>
              <w:t>muzeologije</w:t>
            </w:r>
            <w:proofErr w:type="spellEnd"/>
            <w:r w:rsidR="00CC7BC4" w:rsidRPr="00522380">
              <w:rPr>
                <w:rFonts w:ascii="Merriweather" w:hAnsi="Merriweather"/>
                <w:sz w:val="16"/>
                <w:szCs w:val="16"/>
              </w:rPr>
              <w:t>, muzejsko-galerijske prakse, zaštite kulturne baštine i konzervacije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68F0E09E" w14:textId="79FB1B1C" w:rsidR="00CC7BC4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D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efinirati i razlikovati </w:t>
            </w:r>
            <w:proofErr w:type="spellStart"/>
            <w:r w:rsidR="00CC7BC4" w:rsidRPr="00522380">
              <w:rPr>
                <w:rFonts w:ascii="Merriweather" w:hAnsi="Merriweather"/>
                <w:sz w:val="16"/>
                <w:szCs w:val="16"/>
              </w:rPr>
              <w:t>povijesnoumjetničke</w:t>
            </w:r>
            <w:proofErr w:type="spellEnd"/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 metode analize i interpretacije umjetničkih djela i pojava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76213470" w14:textId="44AA083C" w:rsidR="00CC7BC4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K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oristiti teorijsko znanje o </w:t>
            </w:r>
            <w:proofErr w:type="spellStart"/>
            <w:r w:rsidR="00CC7BC4" w:rsidRPr="00522380">
              <w:rPr>
                <w:rFonts w:ascii="Merriweather" w:hAnsi="Merriweather"/>
                <w:sz w:val="16"/>
                <w:szCs w:val="16"/>
              </w:rPr>
              <w:t>muzeologiji</w:t>
            </w:r>
            <w:proofErr w:type="spellEnd"/>
            <w:r w:rsidR="00CC7BC4" w:rsidRPr="00522380">
              <w:rPr>
                <w:rFonts w:ascii="Merriweather" w:hAnsi="Merriweather"/>
                <w:sz w:val="16"/>
                <w:szCs w:val="16"/>
              </w:rPr>
              <w:t>, zaštiti i konzervaciji baštine u muzejsko-galerijskim i konzervatorskim ustanovama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68AFEBE2" w14:textId="51E6B743" w:rsidR="00CC7BC4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S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teći iskustvo i vještine izvođenja stručnih poslova u polju </w:t>
            </w:r>
            <w:proofErr w:type="spellStart"/>
            <w:r w:rsidR="00CC7BC4" w:rsidRPr="00522380">
              <w:rPr>
                <w:rFonts w:ascii="Merriweather" w:hAnsi="Merriweather"/>
                <w:sz w:val="16"/>
                <w:szCs w:val="16"/>
              </w:rPr>
              <w:t>muzeologije</w:t>
            </w:r>
            <w:proofErr w:type="spellEnd"/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 i zaštite kulturne baštine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24E48194" w14:textId="3E07AA63" w:rsidR="003B254F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 xml:space="preserve">Planirati i izvoditi stručne poslove primjerene razine odgovornosti u kulturnim i javnim institucijama i medijima te u turizmu. </w:t>
            </w:r>
          </w:p>
          <w:p w14:paraId="12CA2F78" w14:textId="03830901" w:rsidR="00F2033E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U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>svojiti načela profesionalne etike u muzejsko-galerijskom i konzervatorskom radu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1C1E96E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74D1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6F23080C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148A8B8D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D1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3C28974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C1433A8" w:rsidR="00FC2198" w:rsidRPr="0017531F" w:rsidRDefault="00BE4A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Iz ovog kolegija nema ispita.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D3AAD52" w14:textId="1DEA11D3" w:rsidR="00540A11" w:rsidRPr="005A0F3F" w:rsidRDefault="00540A11" w:rsidP="00C04DAC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A0F3F">
              <w:rPr>
                <w:rFonts w:ascii="Merriweather" w:hAnsi="Merriweather"/>
                <w:sz w:val="16"/>
                <w:szCs w:val="16"/>
              </w:rPr>
              <w:t xml:space="preserve">Muzejsko-galerijska praksa obvezni je kolegij za studente jednopredmetnoga diplomskog studija povijesti umjetnosti konzervatorskoga i muzejsko-galerijskoga smjera te izborni za studente dvopredmetnoga diplomskog studija povijesti umjetnosti općega i nastavničkog smjera. </w:t>
            </w:r>
            <w:r w:rsidR="00C2566D" w:rsidRPr="005A0F3F">
              <w:rPr>
                <w:rFonts w:ascii="Merriweather" w:hAnsi="Merriweather"/>
                <w:sz w:val="16"/>
                <w:szCs w:val="16"/>
              </w:rPr>
              <w:t>Cilj muzejsko</w:t>
            </w:r>
            <w:r w:rsidR="00C2566D" w:rsidRPr="005A0F3F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="00C2566D" w:rsidRPr="005A0F3F">
              <w:rPr>
                <w:rFonts w:ascii="Merriweather" w:hAnsi="Merriweather"/>
                <w:sz w:val="16"/>
                <w:szCs w:val="16"/>
              </w:rPr>
              <w:t>galerijske prakse je upoznati studente s muzejskom djelatno</w:t>
            </w:r>
            <w:r w:rsidR="00C2566D" w:rsidRPr="005A0F3F">
              <w:rPr>
                <w:rFonts w:ascii="Merriweather" w:hAnsi="Merriweather" w:cs="Merriweather"/>
                <w:sz w:val="16"/>
                <w:szCs w:val="16"/>
              </w:rPr>
              <w:t>šć</w:t>
            </w:r>
            <w:r w:rsidR="00C2566D" w:rsidRPr="005A0F3F">
              <w:rPr>
                <w:rFonts w:ascii="Merriweather" w:hAnsi="Merriweather"/>
                <w:sz w:val="16"/>
                <w:szCs w:val="16"/>
              </w:rPr>
              <w:t>u koja obuhvaća: skupljanje, čuvanje i istraživanje civilizacijskih, kulturnih i prirodnih dobara te njihovu stručnu i znanstvenu obradu i sistematizaciju u zbirke, trajno zaštićivanje muzejske građe, muzejske dokumentacije, muzejskih lokaliteta i nalazišta, njihovo neposredno i posredno predočavanje javnosti putem stalnih i povremenih izložaba, te objavljivanje podataka i spoznaja o muzejskoj građi i muzejskoj dokumentaciji putem stručnih, znanstvenih i drugih obavijesnih sredstava.</w:t>
            </w:r>
            <w:r w:rsidR="005A0F3F" w:rsidRPr="005A0F3F">
              <w:rPr>
                <w:rFonts w:ascii="Merriweather" w:hAnsi="Merriweather"/>
                <w:sz w:val="16"/>
                <w:szCs w:val="16"/>
              </w:rPr>
              <w:t xml:space="preserve"> Kroz iskustvo rada u struci i realnom radnom okruženju, postiže se unaprjeđenje kvalitete studijskog programa, upotpunjavanje teorijskih znanja studenata praktičnim vještinama, uspješnije ostvarivanje ishoda učenja studijskog programa, dobivanje uvida u način funkcioniranja i organizacije javnih ustanova u kulturi, uz razvijanje profesionalne</w:t>
            </w:r>
            <w:r w:rsidR="00C04DAC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5A0F3F" w:rsidRPr="005A0F3F">
              <w:rPr>
                <w:rFonts w:ascii="Merriweather" w:hAnsi="Merriweather"/>
                <w:sz w:val="16"/>
                <w:szCs w:val="16"/>
              </w:rPr>
              <w:t>odgovornosti i etike.</w:t>
            </w:r>
          </w:p>
          <w:p w14:paraId="232A0C09" w14:textId="3FA88EA6" w:rsidR="00FC2198" w:rsidRPr="0017531F" w:rsidRDefault="00FA69E3" w:rsidP="00C04DAC">
            <w:pPr>
              <w:pStyle w:val="NoSpacing"/>
              <w:jc w:val="both"/>
              <w:rPr>
                <w:rFonts w:eastAsia="MS Gothic" w:cs="Times New Roman"/>
              </w:rPr>
            </w:pPr>
            <w:r w:rsidRPr="005A0F3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Način izvođenja studentske prakse </w:t>
            </w:r>
            <w:r w:rsidR="00C2566D" w:rsidRPr="005A0F3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propisan je </w:t>
            </w:r>
            <w:r w:rsidR="00C2566D" w:rsidRPr="005A0F3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Pravilnikom o muzejsko-galerijskoj praksi</w:t>
            </w:r>
            <w:r w:rsidR="00C2566D" w:rsidRPr="005A0F3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Odjela za povijest umjetnosti Sveučilišta u Zadru i </w:t>
            </w:r>
            <w:r w:rsidR="00C2566D" w:rsidRPr="005A0F3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Pravilnikom o studentskoj praksi i nastavnim bazama</w:t>
            </w:r>
            <w:r w:rsidR="00C2566D" w:rsidRPr="005A0F3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Zadru.</w:t>
            </w:r>
            <w:r w:rsidR="00C2566D" w:rsidRPr="00BE4A21">
              <w:rPr>
                <w:rFonts w:eastAsia="MS Gothic" w:cs="Times New Roman"/>
              </w:rPr>
              <w:t xml:space="preserve"> 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E3A408E" w14:textId="52F8A741" w:rsidR="00FC2198" w:rsidRPr="00C04DAC" w:rsidRDefault="005A0F3F" w:rsidP="00C04DAC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04DAC">
              <w:rPr>
                <w:rFonts w:ascii="Merriweather" w:hAnsi="Merriweather"/>
                <w:sz w:val="16"/>
                <w:szCs w:val="16"/>
              </w:rPr>
              <w:t xml:space="preserve">Studentska praksa provodi se isključivo u nastavnoj bazi s kojom je Sveučilište u Zadru sklopilo ugovor o studentskoj praksi. </w:t>
            </w:r>
            <w:r w:rsidR="00C04DAC" w:rsidRPr="00C04DAC">
              <w:rPr>
                <w:rFonts w:ascii="Merriweather" w:hAnsi="Merriweather"/>
                <w:sz w:val="16"/>
                <w:szCs w:val="16"/>
              </w:rPr>
              <w:t>Studentska praksa može se obavljati i u inozemstvu, u okviru studentske mobilnosti, u suradnji s Uredom za međunarodnu suradnju Sveučilišta u Zadru, uz odobrenje ERASMUS/CEEPUS koordinatora i voditelja studentske prakse. Student može sam predložiti voditelju studentske prakse novu nastavnu bazu za studentsku praksu. U slučaju opravdanosti prijedloga, voditelj studentske prakse u tom je slučaju dužan</w:t>
            </w:r>
            <w:r w:rsidR="00C04DAC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C04DAC" w:rsidRPr="00C04DAC">
              <w:rPr>
                <w:rFonts w:ascii="Merriweather" w:hAnsi="Merriweather"/>
                <w:sz w:val="16"/>
                <w:szCs w:val="16"/>
              </w:rPr>
              <w:t xml:space="preserve">prirediti prijedlog potpisivanja ugovora s nastavnom bazom i administrirati potpisivanje ugovora ili predložiti nadležnom prorektoru imenovanje interne nastavne baze. Student ne može biti upućen na praksu u nastavnu bazu koja nema potpisan ugovor sa Sveučilištem u Zadru ili koja odlukom Rektora ili dozvolom Ministarstva nije regulirana kao nastavna baza. 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>Organizacija</w:t>
            </w:r>
            <w:r w:rsidRPr="00C04DAC">
              <w:rPr>
                <w:rFonts w:ascii="Merriweather" w:hAnsi="Merriweather"/>
                <w:sz w:val="16"/>
                <w:szCs w:val="16"/>
              </w:rPr>
              <w:t xml:space="preserve"> studentske prakse temelji se na koordinaciji voditelja studentske prakse na studijskom programu i mentora studentske prakse u nastavnoj bazi. </w:t>
            </w:r>
            <w:r w:rsidR="00C04DAC" w:rsidRPr="00C04DAC">
              <w:rPr>
                <w:rFonts w:ascii="Merriweather" w:hAnsi="Merriweather"/>
                <w:sz w:val="16"/>
                <w:szCs w:val="16"/>
              </w:rPr>
              <w:t xml:space="preserve">Sadržaj prakse u propisanom trajanju od 60 sati određuju voditelj i mentor, vodeći računa da student dobije cjeloviti uvid u rad muzejske ili galerijske ustanove te sudjeluje u širokom spektru stručnih poslova. </w:t>
            </w:r>
            <w:r w:rsidRPr="00C04DAC">
              <w:rPr>
                <w:rFonts w:ascii="Merriweather" w:hAnsi="Merriweather"/>
                <w:sz w:val="16"/>
                <w:szCs w:val="16"/>
              </w:rPr>
              <w:t>Voditelj studentske prakse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 xml:space="preserve"> na studijskom programu</w:t>
            </w:r>
            <w:r w:rsidRPr="00C04DAC">
              <w:rPr>
                <w:rFonts w:ascii="Merriweather" w:hAnsi="Merriweather"/>
                <w:sz w:val="16"/>
                <w:szCs w:val="16"/>
              </w:rPr>
              <w:t xml:space="preserve"> u koordinaciji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Pr="00C04DAC">
              <w:rPr>
                <w:rFonts w:ascii="Merriweather" w:hAnsi="Merriweather"/>
                <w:sz w:val="16"/>
                <w:szCs w:val="16"/>
              </w:rPr>
              <w:t>s mentorom studentske prakse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 xml:space="preserve"> na nastavnoj bazi</w:t>
            </w:r>
            <w:r w:rsidRPr="00C04DAC">
              <w:rPr>
                <w:rFonts w:ascii="Merriweather" w:hAnsi="Merriweather"/>
                <w:sz w:val="16"/>
                <w:szCs w:val="16"/>
              </w:rPr>
              <w:t>, uz prethodnu pisanu suglasnost studenta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>,</w:t>
            </w:r>
            <w:r w:rsidRPr="00C04DAC">
              <w:rPr>
                <w:rFonts w:ascii="Merriweather" w:hAnsi="Merriweather"/>
                <w:sz w:val="16"/>
                <w:szCs w:val="16"/>
              </w:rPr>
              <w:t xml:space="preserve"> upućuje studenta na</w:t>
            </w:r>
            <w:r w:rsidR="00C04DAC" w:rsidRPr="00C04DAC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>p</w:t>
            </w:r>
            <w:r w:rsidRPr="00C04DAC">
              <w:rPr>
                <w:rFonts w:ascii="Merriweather" w:hAnsi="Merriweather"/>
                <w:sz w:val="16"/>
                <w:szCs w:val="16"/>
              </w:rPr>
              <w:t>raksu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 xml:space="preserve">. </w:t>
            </w:r>
            <w:r w:rsidRPr="00C04DAC">
              <w:rPr>
                <w:rFonts w:ascii="Merriweather" w:hAnsi="Merriweather"/>
                <w:sz w:val="16"/>
                <w:szCs w:val="16"/>
              </w:rPr>
              <w:t>Praćenje studenata na studentskoj praksi regulirano je Izvješćem o</w:t>
            </w:r>
            <w:r w:rsidR="00C04DAC" w:rsidRPr="00C04DAC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Pr="00C04DAC">
              <w:rPr>
                <w:rFonts w:ascii="Merriweather" w:hAnsi="Merriweather"/>
                <w:sz w:val="16"/>
                <w:szCs w:val="16"/>
              </w:rPr>
              <w:t>studentskoj praksi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 xml:space="preserve"> koje ispunjava i predaje mentor po završetku prakse u nastavnoj bazi. 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09BF8E83" w:rsidR="00FC2198" w:rsidRPr="0017531F" w:rsidRDefault="00D7509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hyperlink r:id="rId11" w:history="1">
              <w:r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Uputnica za studentsku praksu</w:t>
              </w:r>
            </w:hyperlink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</w:t>
            </w:r>
            <w:hyperlink r:id="rId12" w:history="1">
              <w:r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Potvrda mentorstva</w:t>
              </w:r>
            </w:hyperlink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</w:t>
            </w:r>
            <w:hyperlink r:id="rId13" w:history="1">
              <w:r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Izvješće mentora</w:t>
              </w:r>
            </w:hyperlink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C19CC8E" w:rsidR="00FC2198" w:rsidRPr="0017531F" w:rsidRDefault="005A0F3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hyperlink r:id="rId14" w:history="1">
              <w:r w:rsidRPr="005A0F3F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Pravilnik o muzejsko-galerijskoj praksi Odjela za povijest umjetnosti</w:t>
              </w:r>
            </w:hyperlink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</w:t>
            </w:r>
            <w:hyperlink r:id="rId15" w:history="1">
              <w:r w:rsidRPr="005A0F3F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Pravilnik o studentskoj praksi i nastavnim bazama</w:t>
              </w:r>
            </w:hyperlink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6185407D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59C03093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29B76C14" w:rsidR="00FC2198" w:rsidRPr="0017531F" w:rsidRDefault="00C966E3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Izvršena </w:t>
            </w:r>
            <w:r w:rsidR="005A0F3F">
              <w:rPr>
                <w:rFonts w:ascii="Merriweather" w:eastAsia="MS Gothic" w:hAnsi="Merriweather" w:cs="Times New Roman"/>
                <w:sz w:val="16"/>
                <w:szCs w:val="16"/>
              </w:rPr>
              <w:t>muzejsko-galerijska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praksa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6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367E31CC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D01B" w14:textId="77777777" w:rsidR="007C362D" w:rsidRDefault="007C362D" w:rsidP="009947BA">
      <w:pPr>
        <w:spacing w:before="0" w:after="0"/>
      </w:pPr>
      <w:r>
        <w:separator/>
      </w:r>
    </w:p>
  </w:endnote>
  <w:endnote w:type="continuationSeparator" w:id="0">
    <w:p w14:paraId="17436AE8" w14:textId="77777777" w:rsidR="007C362D" w:rsidRDefault="007C362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6B24" w14:textId="77777777" w:rsidR="007C362D" w:rsidRDefault="007C362D" w:rsidP="009947BA">
      <w:pPr>
        <w:spacing w:before="0" w:after="0"/>
      </w:pPr>
      <w:r>
        <w:separator/>
      </w:r>
    </w:p>
  </w:footnote>
  <w:footnote w:type="continuationSeparator" w:id="0">
    <w:p w14:paraId="7F32B529" w14:textId="77777777" w:rsidR="007C362D" w:rsidRDefault="007C362D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8B1"/>
    <w:multiLevelType w:val="hybridMultilevel"/>
    <w:tmpl w:val="C7BCF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1110D"/>
    <w:multiLevelType w:val="hybridMultilevel"/>
    <w:tmpl w:val="611006C0"/>
    <w:lvl w:ilvl="0" w:tplc="0CA690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49F5"/>
    <w:multiLevelType w:val="hybridMultilevel"/>
    <w:tmpl w:val="B5680A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50CBF"/>
    <w:multiLevelType w:val="hybridMultilevel"/>
    <w:tmpl w:val="3C7E1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1056">
    <w:abstractNumId w:val="3"/>
  </w:num>
  <w:num w:numId="2" w16cid:durableId="53965118">
    <w:abstractNumId w:val="2"/>
  </w:num>
  <w:num w:numId="3" w16cid:durableId="394950">
    <w:abstractNumId w:val="1"/>
  </w:num>
  <w:num w:numId="4" w16cid:durableId="92033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82DC4"/>
    <w:rsid w:val="00084ADA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42D14"/>
    <w:rsid w:val="00250CF2"/>
    <w:rsid w:val="0028545A"/>
    <w:rsid w:val="002C6DCC"/>
    <w:rsid w:val="002E1CE6"/>
    <w:rsid w:val="002E38F8"/>
    <w:rsid w:val="002F2D22"/>
    <w:rsid w:val="00310F9A"/>
    <w:rsid w:val="00326091"/>
    <w:rsid w:val="00357643"/>
    <w:rsid w:val="00371634"/>
    <w:rsid w:val="00381823"/>
    <w:rsid w:val="00386E9C"/>
    <w:rsid w:val="00393964"/>
    <w:rsid w:val="003B254F"/>
    <w:rsid w:val="003C4ACB"/>
    <w:rsid w:val="003D7529"/>
    <w:rsid w:val="003F11B6"/>
    <w:rsid w:val="003F17B8"/>
    <w:rsid w:val="003F3E31"/>
    <w:rsid w:val="004138FF"/>
    <w:rsid w:val="00453362"/>
    <w:rsid w:val="00461219"/>
    <w:rsid w:val="00470F6D"/>
    <w:rsid w:val="00483BC3"/>
    <w:rsid w:val="004B1B3D"/>
    <w:rsid w:val="004B553E"/>
    <w:rsid w:val="00507C65"/>
    <w:rsid w:val="00522380"/>
    <w:rsid w:val="00527C5F"/>
    <w:rsid w:val="005353ED"/>
    <w:rsid w:val="00540A11"/>
    <w:rsid w:val="005514C3"/>
    <w:rsid w:val="00574D1E"/>
    <w:rsid w:val="005A077B"/>
    <w:rsid w:val="005A0F3F"/>
    <w:rsid w:val="005E1668"/>
    <w:rsid w:val="005E5F80"/>
    <w:rsid w:val="005F6E0B"/>
    <w:rsid w:val="0062328F"/>
    <w:rsid w:val="00684BBC"/>
    <w:rsid w:val="006B4920"/>
    <w:rsid w:val="006F4081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362D"/>
    <w:rsid w:val="007C43A4"/>
    <w:rsid w:val="007D4D2D"/>
    <w:rsid w:val="00865776"/>
    <w:rsid w:val="00874D5D"/>
    <w:rsid w:val="00891C60"/>
    <w:rsid w:val="008942F0"/>
    <w:rsid w:val="008B1823"/>
    <w:rsid w:val="008B3B10"/>
    <w:rsid w:val="008C0119"/>
    <w:rsid w:val="008D45DB"/>
    <w:rsid w:val="0090214F"/>
    <w:rsid w:val="009143DC"/>
    <w:rsid w:val="009163E6"/>
    <w:rsid w:val="00955A47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1272"/>
    <w:rsid w:val="00AD23FB"/>
    <w:rsid w:val="00B71A57"/>
    <w:rsid w:val="00B7307A"/>
    <w:rsid w:val="00BE4A21"/>
    <w:rsid w:val="00C02454"/>
    <w:rsid w:val="00C04DAC"/>
    <w:rsid w:val="00C2566D"/>
    <w:rsid w:val="00C3477B"/>
    <w:rsid w:val="00C85956"/>
    <w:rsid w:val="00C966E3"/>
    <w:rsid w:val="00C9733D"/>
    <w:rsid w:val="00CA3783"/>
    <w:rsid w:val="00CB23F4"/>
    <w:rsid w:val="00CC7BC4"/>
    <w:rsid w:val="00D136E4"/>
    <w:rsid w:val="00D5334D"/>
    <w:rsid w:val="00D5523D"/>
    <w:rsid w:val="00D63C44"/>
    <w:rsid w:val="00D75094"/>
    <w:rsid w:val="00D944DF"/>
    <w:rsid w:val="00DD110C"/>
    <w:rsid w:val="00DE6D53"/>
    <w:rsid w:val="00DF39D0"/>
    <w:rsid w:val="00E06E39"/>
    <w:rsid w:val="00E07D73"/>
    <w:rsid w:val="00E17D18"/>
    <w:rsid w:val="00E30E67"/>
    <w:rsid w:val="00E92661"/>
    <w:rsid w:val="00EB5A72"/>
    <w:rsid w:val="00F02A8F"/>
    <w:rsid w:val="00F2033E"/>
    <w:rsid w:val="00F22855"/>
    <w:rsid w:val="00F513E0"/>
    <w:rsid w:val="00F566DA"/>
    <w:rsid w:val="00F64CBA"/>
    <w:rsid w:val="00F82834"/>
    <w:rsid w:val="00F84F5E"/>
    <w:rsid w:val="00FA5C5B"/>
    <w:rsid w:val="00FA69E3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50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D1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22380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m.unizd.hr/Portals/11/DOKUMENTI/Izvje%C5%A1%C4%87e%20o%20obavljenoj%20studentskoj%20praksi.docx?ver=Ip7fP8KAOh894eWlAcncfA%3d%3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m.unizd.hr/Portals/11/DOKUMENTI/Obrazac%20potvrde%20za%20mentorstvo%20studentske%20prakse.docx?ver=mQbNTIZ5k3DLRkbSS-IVQQ%3d%3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zd.hr/Portals/0/doc/doc_pdf_dokumenti/pravilnici/pravilnik_o_stegovnoj_odgovornosti_studenata_2015091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m.unizd.hr/Portals/11/DOKUMENTI/Uputnica%20za%20studentsku%20praksu.docx?ver=mQbNTIZ5k3DLRkbSS-IVQQ%3d%3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m.unizd.hr/Portals/11/DOKUMENTI/Pravilnik%20o%20studentskoj%20praksi%20i%20nastavnim%20bazama%20Sveu%C4%8Dili%C5%A1ta%20u%20Zadru_19-02-2024.pdf?ver=e0_gSuu717OClcnSLMRESg%3d%3d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m.unizd.hr/Portals/11/Odjel/Pravilnik%20o%20muzejsko-galerijskoj%20praksi%20(PUM).pdf?ver=zs2j0GHzCRcr5fB0Ywotpw%3d%3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Lidija Butković Mićin</cp:lastModifiedBy>
  <cp:revision>4</cp:revision>
  <cp:lastPrinted>2021-02-12T11:27:00Z</cp:lastPrinted>
  <dcterms:created xsi:type="dcterms:W3CDTF">2025-09-15T11:46:00Z</dcterms:created>
  <dcterms:modified xsi:type="dcterms:W3CDTF">2025-09-16T09:56:00Z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